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10" w:rsidRPr="009849EE" w:rsidRDefault="00C90010" w:rsidP="009849EE">
      <w:pPr>
        <w:pStyle w:val="ListParagraph"/>
        <w:numPr>
          <w:ilvl w:val="1"/>
          <w:numId w:val="6"/>
        </w:numPr>
        <w:spacing w:before="240"/>
        <w:ind w:left="567" w:hanging="567"/>
        <w:contextualSpacing w:val="0"/>
        <w:rPr>
          <w:rFonts w:ascii="Arial" w:hAnsi="Arial" w:cs="Arial"/>
          <w:b/>
          <w:sz w:val="20"/>
          <w:szCs w:val="22"/>
          <w:u w:val="single"/>
        </w:rPr>
      </w:pPr>
      <w:bookmarkStart w:id="0" w:name="_GoBack"/>
      <w:bookmarkEnd w:id="0"/>
      <w:r w:rsidRPr="009849EE">
        <w:rPr>
          <w:rFonts w:ascii="Arial" w:hAnsi="Arial" w:cs="Arial"/>
          <w:bCs/>
          <w:color w:val="000000"/>
          <w:spacing w:val="-3"/>
          <w:sz w:val="22"/>
          <w:lang w:eastAsia="en-AU"/>
        </w:rPr>
        <w:t>Brand protection legislation is desirable for the following reasons:</w:t>
      </w:r>
    </w:p>
    <w:p w:rsidR="00C90010" w:rsidRPr="009849EE" w:rsidRDefault="00C90010" w:rsidP="009849EE">
      <w:pPr>
        <w:numPr>
          <w:ilvl w:val="2"/>
          <w:numId w:val="7"/>
        </w:numPr>
        <w:tabs>
          <w:tab w:val="left" w:pos="1134"/>
        </w:tabs>
        <w:spacing w:before="120"/>
        <w:ind w:left="1134" w:hanging="567"/>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The Games budget includes income from sponsorships. Corporate sponsors expect measures to ensure the rights they acquire to associate themselves with the Games are not diluted by having unauthorised people also associating themselves with the Games. The level of protection will directly affect the commercial value of sponsorships, and therefore the sponsorship income that can be secured.</w:t>
      </w:r>
    </w:p>
    <w:p w:rsidR="00C90010" w:rsidRPr="009849EE" w:rsidRDefault="00C90010" w:rsidP="009849EE">
      <w:pPr>
        <w:numPr>
          <w:ilvl w:val="2"/>
          <w:numId w:val="7"/>
        </w:numPr>
        <w:tabs>
          <w:tab w:val="left" w:pos="1134"/>
        </w:tabs>
        <w:spacing w:before="120"/>
        <w:ind w:left="1134" w:hanging="567"/>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Brand protection also helps to maintain the reputation of the Gold Coast Games and the Commonwealth Games generally.</w:t>
      </w:r>
    </w:p>
    <w:p w:rsidR="00C90010" w:rsidRPr="009849EE" w:rsidRDefault="00C90010" w:rsidP="009849EE">
      <w:pPr>
        <w:pStyle w:val="ListParagraph"/>
        <w:numPr>
          <w:ilvl w:val="2"/>
          <w:numId w:val="7"/>
        </w:numPr>
        <w:tabs>
          <w:tab w:val="left" w:pos="1134"/>
        </w:tabs>
        <w:spacing w:before="120"/>
        <w:ind w:left="1134" w:hanging="567"/>
        <w:contextualSpacing w:val="0"/>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The existing law is generally sufficient for brand protection in Australia. Major sporting events, however, tend to attract larger numbers of people and businesses taking advantage of the publicity and goodwill surrounding the event, without seeking the appropriate permissions. The number of cases of misuse of intellectual property or ambush marketing, and the need for remedies that are fair but speedy, have resulted in it becoming the norm for host jurisdictions to enact special legislation for events such as Commonwealth and Olympic Games and world cups of major sports.</w:t>
      </w:r>
    </w:p>
    <w:p w:rsidR="00C90010" w:rsidRPr="009849EE" w:rsidRDefault="009849EE" w:rsidP="009849EE">
      <w:pPr>
        <w:pStyle w:val="ListParagraph"/>
        <w:numPr>
          <w:ilvl w:val="1"/>
          <w:numId w:val="6"/>
        </w:numPr>
        <w:spacing w:before="240"/>
        <w:ind w:left="567" w:hanging="567"/>
        <w:contextualSpacing w:val="0"/>
        <w:rPr>
          <w:rFonts w:ascii="Arial" w:hAnsi="Arial" w:cs="Arial"/>
          <w:bCs/>
          <w:color w:val="000000"/>
          <w:spacing w:val="-3"/>
          <w:sz w:val="22"/>
          <w:lang w:eastAsia="en-AU"/>
        </w:rPr>
      </w:pPr>
      <w:r>
        <w:rPr>
          <w:rFonts w:ascii="Arial" w:hAnsi="Arial" w:cs="Arial"/>
          <w:bCs/>
          <w:color w:val="000000"/>
          <w:spacing w:val="-3"/>
          <w:sz w:val="22"/>
          <w:lang w:eastAsia="en-AU"/>
        </w:rPr>
        <w:t>The Commonwealth Games Arrangements (Brand Protection) Bill 2013</w:t>
      </w:r>
      <w:r w:rsidR="00C90010" w:rsidRPr="009849EE">
        <w:rPr>
          <w:rFonts w:ascii="Arial" w:hAnsi="Arial" w:cs="Arial"/>
          <w:bCs/>
          <w:color w:val="000000"/>
          <w:spacing w:val="-3"/>
          <w:sz w:val="22"/>
          <w:lang w:eastAsia="en-AU"/>
        </w:rPr>
        <w:t>:</w:t>
      </w:r>
    </w:p>
    <w:p w:rsidR="00C90010" w:rsidRPr="009849EE" w:rsidRDefault="00C90010" w:rsidP="00796F63">
      <w:pPr>
        <w:numPr>
          <w:ilvl w:val="2"/>
          <w:numId w:val="7"/>
        </w:numPr>
        <w:tabs>
          <w:tab w:val="left" w:pos="1134"/>
        </w:tabs>
        <w:spacing w:before="120"/>
        <w:ind w:left="1134" w:hanging="566"/>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bans the use of certain expressions (such as ‘Gold Coast 2018 Commonwealth Games’ and ‘Queen’s Baton Relay’), where the use is for commercial or promotional purposes or would suggest a sponsorship-like arrangement, except where authorised;</w:t>
      </w:r>
    </w:p>
    <w:p w:rsidR="00C90010" w:rsidRPr="009849EE" w:rsidRDefault="00C90010" w:rsidP="00796F63">
      <w:pPr>
        <w:numPr>
          <w:ilvl w:val="2"/>
          <w:numId w:val="7"/>
        </w:numPr>
        <w:tabs>
          <w:tab w:val="left" w:pos="1134"/>
        </w:tabs>
        <w:spacing w:before="120"/>
        <w:ind w:left="1134" w:hanging="566"/>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bans any conduct which would suggest a sponsorship or affiliation with the Games that does not exist;</w:t>
      </w:r>
    </w:p>
    <w:p w:rsidR="00C90010" w:rsidRPr="009849EE" w:rsidRDefault="00C90010" w:rsidP="00796F63">
      <w:pPr>
        <w:numPr>
          <w:ilvl w:val="2"/>
          <w:numId w:val="7"/>
        </w:numPr>
        <w:tabs>
          <w:tab w:val="left" w:pos="1134"/>
        </w:tabs>
        <w:spacing w:before="120"/>
        <w:ind w:left="1134" w:hanging="566"/>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 xml:space="preserve">provides powers such as seizure of goods or advertising material displaying unauthorised Games-related images in or close to Games venues; </w:t>
      </w:r>
    </w:p>
    <w:p w:rsidR="00C90010" w:rsidRPr="009849EE" w:rsidRDefault="00C90010" w:rsidP="00796F63">
      <w:pPr>
        <w:numPr>
          <w:ilvl w:val="2"/>
          <w:numId w:val="7"/>
        </w:numPr>
        <w:tabs>
          <w:tab w:val="left" w:pos="1134"/>
        </w:tabs>
        <w:spacing w:before="120"/>
        <w:ind w:left="1134" w:hanging="566"/>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provides remedies such as injunctions, corrective advertising, damages and account of profits; and</w:t>
      </w:r>
    </w:p>
    <w:p w:rsidR="00C90010" w:rsidRDefault="00C90010" w:rsidP="00796F63">
      <w:pPr>
        <w:numPr>
          <w:ilvl w:val="2"/>
          <w:numId w:val="7"/>
        </w:numPr>
        <w:tabs>
          <w:tab w:val="left" w:pos="1134"/>
        </w:tabs>
        <w:spacing w:before="120"/>
        <w:ind w:left="1134" w:hanging="566"/>
        <w:jc w:val="both"/>
        <w:rPr>
          <w:rFonts w:ascii="Arial" w:hAnsi="Arial" w:cs="Arial"/>
          <w:bCs/>
          <w:color w:val="000000"/>
          <w:spacing w:val="-3"/>
          <w:sz w:val="22"/>
          <w:lang w:eastAsia="en-AU"/>
        </w:rPr>
      </w:pPr>
      <w:r w:rsidRPr="009849EE">
        <w:rPr>
          <w:rFonts w:ascii="Arial" w:hAnsi="Arial" w:cs="Arial"/>
          <w:bCs/>
          <w:color w:val="000000"/>
          <w:spacing w:val="-3"/>
          <w:sz w:val="22"/>
          <w:lang w:eastAsia="en-AU"/>
        </w:rPr>
        <w:t>provides for the Gold Coast 2018 Commonwealth Games Corporation to play the lead role in monitoring and enforcement, with assistance from police (who will prosecute offences) and others as appropriate.</w:t>
      </w:r>
    </w:p>
    <w:p w:rsidR="009849EE" w:rsidRPr="009849EE" w:rsidRDefault="009849EE" w:rsidP="004C10B2">
      <w:pPr>
        <w:pStyle w:val="ListParagraph"/>
        <w:numPr>
          <w:ilvl w:val="1"/>
          <w:numId w:val="6"/>
        </w:numPr>
        <w:spacing w:before="240"/>
        <w:ind w:left="567" w:hanging="567"/>
        <w:contextualSpacing w:val="0"/>
        <w:jc w:val="both"/>
        <w:rPr>
          <w:rFonts w:ascii="Arial" w:hAnsi="Arial" w:cs="Arial"/>
          <w:bCs/>
          <w:color w:val="000000"/>
          <w:spacing w:val="-3"/>
          <w:sz w:val="22"/>
          <w:lang w:eastAsia="en-AU"/>
        </w:rPr>
      </w:pPr>
      <w:r w:rsidRPr="009849EE">
        <w:rPr>
          <w:rFonts w:ascii="Arial" w:hAnsi="Arial" w:cs="Arial"/>
          <w:bCs/>
          <w:color w:val="000000"/>
          <w:spacing w:val="-3"/>
          <w:sz w:val="22"/>
          <w:u w:val="single"/>
          <w:lang w:eastAsia="en-AU"/>
        </w:rPr>
        <w:t>Cabinet approved</w:t>
      </w:r>
      <w:r w:rsidRPr="009849EE">
        <w:rPr>
          <w:rFonts w:ascii="Arial" w:hAnsi="Arial" w:cs="Arial"/>
          <w:bCs/>
          <w:color w:val="000000"/>
          <w:spacing w:val="-3"/>
          <w:sz w:val="22"/>
          <w:lang w:eastAsia="en-AU"/>
        </w:rPr>
        <w:t xml:space="preserve"> </w:t>
      </w:r>
      <w:r w:rsidR="004C10B2" w:rsidRPr="004C10B2">
        <w:rPr>
          <w:rFonts w:ascii="Arial" w:hAnsi="Arial" w:cs="Arial"/>
          <w:bCs/>
          <w:color w:val="000000"/>
          <w:spacing w:val="-3"/>
          <w:sz w:val="22"/>
          <w:lang w:eastAsia="en-AU"/>
        </w:rPr>
        <w:t>t</w:t>
      </w:r>
      <w:r w:rsidR="004C10B2">
        <w:rPr>
          <w:rFonts w:ascii="Arial" w:hAnsi="Arial" w:cs="Arial"/>
          <w:bCs/>
          <w:color w:val="000000"/>
          <w:spacing w:val="-3"/>
          <w:sz w:val="22"/>
          <w:lang w:eastAsia="en-AU"/>
        </w:rPr>
        <w:t>hat t</w:t>
      </w:r>
      <w:r w:rsidR="004C10B2" w:rsidRPr="004C10B2">
        <w:rPr>
          <w:rFonts w:ascii="Arial" w:hAnsi="Arial" w:cs="Arial"/>
          <w:bCs/>
          <w:color w:val="000000"/>
          <w:spacing w:val="-3"/>
          <w:sz w:val="22"/>
          <w:lang w:eastAsia="en-AU"/>
        </w:rPr>
        <w:t>he Commonwealth Games Arrangements (Brand Protection) Amendment Bill 2013 be introduced into the Legislative Assembly</w:t>
      </w:r>
      <w:r w:rsidR="004C10B2">
        <w:rPr>
          <w:rFonts w:ascii="Arial" w:hAnsi="Arial" w:cs="Arial"/>
          <w:bCs/>
          <w:color w:val="000000"/>
          <w:spacing w:val="-3"/>
          <w:sz w:val="22"/>
          <w:lang w:eastAsia="en-AU"/>
        </w:rPr>
        <w:t>.</w:t>
      </w:r>
    </w:p>
    <w:p w:rsidR="00C90010" w:rsidRPr="004C10B2" w:rsidRDefault="00C90010" w:rsidP="004C10B2">
      <w:pPr>
        <w:pStyle w:val="ListParagraph"/>
        <w:numPr>
          <w:ilvl w:val="1"/>
          <w:numId w:val="6"/>
        </w:numPr>
        <w:spacing w:before="360"/>
        <w:ind w:left="567" w:hanging="567"/>
        <w:contextualSpacing w:val="0"/>
        <w:rPr>
          <w:rFonts w:ascii="Arial" w:hAnsi="Arial" w:cs="Arial"/>
          <w:bCs/>
          <w:color w:val="000000"/>
          <w:spacing w:val="-3"/>
          <w:sz w:val="22"/>
          <w:lang w:eastAsia="en-AU"/>
        </w:rPr>
      </w:pPr>
      <w:r w:rsidRPr="009849EE">
        <w:rPr>
          <w:rFonts w:ascii="Arial" w:hAnsi="Arial" w:cs="Arial"/>
          <w:bCs/>
          <w:i/>
          <w:color w:val="000000"/>
          <w:spacing w:val="-3"/>
          <w:sz w:val="22"/>
          <w:u w:val="single"/>
          <w:lang w:eastAsia="en-AU"/>
        </w:rPr>
        <w:t>Attachments:</w:t>
      </w:r>
    </w:p>
    <w:p w:rsidR="00C90010" w:rsidRPr="004C10B2" w:rsidRDefault="00EC5C5D" w:rsidP="00796F63">
      <w:pPr>
        <w:numPr>
          <w:ilvl w:val="2"/>
          <w:numId w:val="7"/>
        </w:numPr>
        <w:tabs>
          <w:tab w:val="left" w:pos="1134"/>
        </w:tabs>
        <w:spacing w:before="120"/>
        <w:ind w:left="1134" w:hanging="566"/>
        <w:jc w:val="both"/>
        <w:rPr>
          <w:rFonts w:ascii="Arial" w:hAnsi="Arial" w:cs="Arial"/>
          <w:bCs/>
          <w:color w:val="000000"/>
          <w:spacing w:val="-3"/>
          <w:sz w:val="22"/>
          <w:lang w:eastAsia="en-AU"/>
        </w:rPr>
      </w:pPr>
      <w:hyperlink r:id="rId8" w:history="1">
        <w:r w:rsidR="00C90010" w:rsidRPr="00DD3D79">
          <w:rPr>
            <w:rStyle w:val="Hyperlink"/>
            <w:rFonts w:ascii="Arial" w:hAnsi="Arial" w:cs="Arial"/>
            <w:bCs/>
            <w:spacing w:val="-3"/>
            <w:sz w:val="22"/>
            <w:lang w:eastAsia="en-AU"/>
          </w:rPr>
          <w:t>Commonwealth Games Arrangements (Brand Protection) Bill 2013</w:t>
        </w:r>
      </w:hyperlink>
    </w:p>
    <w:p w:rsidR="001B1A0E" w:rsidRPr="004C10B2" w:rsidRDefault="00EC5C5D" w:rsidP="00C90010">
      <w:pPr>
        <w:numPr>
          <w:ilvl w:val="2"/>
          <w:numId w:val="7"/>
        </w:numPr>
        <w:tabs>
          <w:tab w:val="left" w:pos="1134"/>
        </w:tabs>
        <w:spacing w:before="120"/>
        <w:ind w:left="1134" w:hanging="566"/>
        <w:jc w:val="both"/>
        <w:rPr>
          <w:rFonts w:ascii="Arial" w:hAnsi="Arial" w:cs="Arial"/>
          <w:bCs/>
          <w:color w:val="000000"/>
          <w:spacing w:val="-3"/>
          <w:sz w:val="22"/>
          <w:lang w:eastAsia="en-AU"/>
        </w:rPr>
      </w:pPr>
      <w:hyperlink r:id="rId9" w:history="1">
        <w:r w:rsidR="00C90010" w:rsidRPr="00DD3D79">
          <w:rPr>
            <w:rStyle w:val="Hyperlink"/>
            <w:rFonts w:ascii="Arial" w:hAnsi="Arial" w:cs="Arial"/>
            <w:bCs/>
            <w:spacing w:val="-3"/>
            <w:sz w:val="22"/>
            <w:lang w:eastAsia="en-AU"/>
          </w:rPr>
          <w:t>Explanatory Notes</w:t>
        </w:r>
      </w:hyperlink>
    </w:p>
    <w:sectPr w:rsidR="001B1A0E" w:rsidRPr="004C10B2" w:rsidSect="009849EE">
      <w:headerReference w:type="default" r:id="rId10"/>
      <w:headerReference w:type="first" r:id="rId11"/>
      <w:pgSz w:w="11907" w:h="16834" w:code="9"/>
      <w:pgMar w:top="1134" w:right="1134" w:bottom="1134" w:left="1134" w:header="680" w:footer="191"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A8" w:rsidRDefault="006D72A8" w:rsidP="00AA5C0B">
      <w:r>
        <w:separator/>
      </w:r>
    </w:p>
  </w:endnote>
  <w:endnote w:type="continuationSeparator" w:id="0">
    <w:p w:rsidR="006D72A8" w:rsidRDefault="006D72A8" w:rsidP="00AA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A8" w:rsidRDefault="006D72A8" w:rsidP="00AA5C0B">
      <w:r>
        <w:separator/>
      </w:r>
    </w:p>
  </w:footnote>
  <w:footnote w:type="continuationSeparator" w:id="0">
    <w:p w:rsidR="006D72A8" w:rsidRDefault="006D72A8" w:rsidP="00AA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EE" w:rsidRPr="00937A4A" w:rsidRDefault="009849EE" w:rsidP="00F025A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9849EE" w:rsidRPr="00937A4A" w:rsidRDefault="009849EE" w:rsidP="00F025A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u w:val="single"/>
      </w:rPr>
    </w:pPr>
  </w:p>
  <w:p w:rsidR="009849EE" w:rsidRPr="00937A4A" w:rsidRDefault="009849EE" w:rsidP="00F025A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February 2013</w:t>
    </w:r>
  </w:p>
  <w:p w:rsidR="009849EE" w:rsidRPr="000854C4" w:rsidRDefault="009849EE" w:rsidP="00F025AA">
    <w:pPr>
      <w:pStyle w:val="Header"/>
      <w:spacing w:before="120"/>
      <w:rPr>
        <w:rFonts w:ascii="Arial" w:hAnsi="Arial" w:cs="Arial"/>
        <w:b/>
        <w:u w:val="single"/>
      </w:rPr>
    </w:pPr>
    <w:r>
      <w:rPr>
        <w:rFonts w:ascii="Arial" w:hAnsi="Arial" w:cs="Arial"/>
        <w:b/>
        <w:u w:val="single"/>
      </w:rPr>
      <w:t xml:space="preserve">Title  </w:t>
    </w:r>
    <w:r w:rsidRPr="000854C4">
      <w:rPr>
        <w:rFonts w:ascii="Arial" w:hAnsi="Arial" w:cs="Arial"/>
        <w:b/>
        <w:u w:val="single"/>
      </w:rPr>
      <w:t xml:space="preserve">Commonwealth Games Arrangements (Brand Protection) Bill 2013 </w:t>
    </w:r>
  </w:p>
  <w:p w:rsidR="009849EE" w:rsidRDefault="009849EE" w:rsidP="00F025AA">
    <w:pPr>
      <w:pStyle w:val="Header"/>
      <w:spacing w:before="120"/>
      <w:rPr>
        <w:rFonts w:ascii="Arial" w:hAnsi="Arial" w:cs="Arial"/>
        <w:b/>
        <w:u w:val="single"/>
      </w:rPr>
    </w:pPr>
    <w:r>
      <w:rPr>
        <w:rFonts w:ascii="Arial" w:hAnsi="Arial" w:cs="Arial"/>
        <w:b/>
        <w:u w:val="single"/>
      </w:rPr>
      <w:t>Minister</w:t>
    </w:r>
    <w:r w:rsidRPr="000854C4">
      <w:rPr>
        <w:rFonts w:ascii="Arial" w:hAnsi="Arial" w:cs="Arial"/>
        <w:b/>
        <w:u w:val="single"/>
      </w:rPr>
      <w:t xml:space="preserve"> for Tourism, Major Events, Small Business and the Commonwealth Games</w:t>
    </w:r>
  </w:p>
  <w:p w:rsidR="009849EE" w:rsidRDefault="009849EE" w:rsidP="00F025AA">
    <w:pPr>
      <w:pStyle w:val="Header"/>
      <w:pBdr>
        <w:bottom w:val="single" w:sz="4" w:space="1" w:color="auto"/>
      </w:pBdr>
    </w:pPr>
  </w:p>
  <w:p w:rsidR="009849EE" w:rsidRDefault="00984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EE" w:rsidRPr="00937A4A" w:rsidRDefault="009849EE" w:rsidP="00C9001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9849EE" w:rsidRPr="00937A4A" w:rsidRDefault="009849EE" w:rsidP="00C9001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u w:val="single"/>
      </w:rPr>
    </w:pPr>
  </w:p>
  <w:p w:rsidR="009849EE" w:rsidRPr="009849EE" w:rsidRDefault="009849EE" w:rsidP="00C9001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rPr>
    </w:pPr>
    <w:r w:rsidRPr="009849EE">
      <w:rPr>
        <w:rFonts w:ascii="Arial" w:hAnsi="Arial" w:cs="Arial"/>
        <w:b/>
        <w:sz w:val="22"/>
      </w:rPr>
      <w:t>Cabinet – February 2013</w:t>
    </w:r>
  </w:p>
  <w:p w:rsidR="009849EE" w:rsidRPr="009849EE" w:rsidRDefault="009849EE" w:rsidP="00C90010">
    <w:pPr>
      <w:pStyle w:val="Header"/>
      <w:spacing w:before="120"/>
      <w:rPr>
        <w:rFonts w:ascii="Arial" w:hAnsi="Arial" w:cs="Arial"/>
        <w:b/>
        <w:sz w:val="22"/>
        <w:u w:val="single"/>
      </w:rPr>
    </w:pPr>
    <w:r w:rsidRPr="009849EE">
      <w:rPr>
        <w:rFonts w:ascii="Arial" w:hAnsi="Arial" w:cs="Arial"/>
        <w:b/>
        <w:sz w:val="22"/>
        <w:u w:val="single"/>
      </w:rPr>
      <w:t xml:space="preserve">Commonwealth Games Arrangements (Brand Protection) Bill 2013 </w:t>
    </w:r>
  </w:p>
  <w:p w:rsidR="009849EE" w:rsidRPr="009849EE" w:rsidRDefault="009849EE" w:rsidP="00C90010">
    <w:pPr>
      <w:pStyle w:val="Header"/>
      <w:spacing w:before="120"/>
      <w:rPr>
        <w:rFonts w:ascii="Arial" w:hAnsi="Arial" w:cs="Arial"/>
        <w:b/>
        <w:sz w:val="22"/>
        <w:u w:val="single"/>
      </w:rPr>
    </w:pPr>
    <w:r w:rsidRPr="009849EE">
      <w:rPr>
        <w:rFonts w:ascii="Arial" w:hAnsi="Arial" w:cs="Arial"/>
        <w:b/>
        <w:sz w:val="22"/>
        <w:u w:val="single"/>
      </w:rPr>
      <w:t>Minister for Tourism, Major Events, Small Business and the Commonwealth Games</w:t>
    </w:r>
  </w:p>
  <w:p w:rsidR="009849EE" w:rsidRDefault="009849EE" w:rsidP="00C90010">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5D6"/>
    <w:multiLevelType w:val="hybridMultilevel"/>
    <w:tmpl w:val="3578ADEE"/>
    <w:lvl w:ilvl="0" w:tplc="0C09000F">
      <w:start w:val="1"/>
      <w:numFmt w:val="decimal"/>
      <w:lvlText w:val="%1."/>
      <w:lvlJc w:val="left"/>
      <w:pPr>
        <w:ind w:left="720" w:hanging="360"/>
      </w:pPr>
    </w:lvl>
    <w:lvl w:ilvl="1" w:tplc="C6D2DC6E">
      <w:start w:val="1"/>
      <w:numFmt w:val="decimal"/>
      <w:lvlText w:val="%2."/>
      <w:lvlJc w:val="left"/>
      <w:pPr>
        <w:ind w:left="1440" w:hanging="360"/>
      </w:pPr>
      <w:rPr>
        <w:b w:val="0"/>
      </w:rPr>
    </w:lvl>
    <w:lvl w:ilvl="2" w:tplc="0C090001">
      <w:start w:val="1"/>
      <w:numFmt w:val="bullet"/>
      <w:lvlText w:val=""/>
      <w:lvlJc w:val="left"/>
      <w:pPr>
        <w:ind w:left="748"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7A2EAA"/>
    <w:multiLevelType w:val="hybridMultilevel"/>
    <w:tmpl w:val="39B43358"/>
    <w:lvl w:ilvl="0" w:tplc="DFF442DE">
      <w:start w:val="1"/>
      <w:numFmt w:val="lowerRoman"/>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D2C3B09"/>
    <w:multiLevelType w:val="hybridMultilevel"/>
    <w:tmpl w:val="FC1A0402"/>
    <w:lvl w:ilvl="0" w:tplc="676AAC4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8212E5"/>
    <w:multiLevelType w:val="hybridMultilevel"/>
    <w:tmpl w:val="3B28C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1E543D"/>
    <w:multiLevelType w:val="hybridMultilevel"/>
    <w:tmpl w:val="752821E8"/>
    <w:lvl w:ilvl="0" w:tplc="DFF442DE">
      <w:start w:val="1"/>
      <w:numFmt w:val="lowerRoman"/>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11D24E0"/>
    <w:multiLevelType w:val="hybridMultilevel"/>
    <w:tmpl w:val="E3DE80AC"/>
    <w:lvl w:ilvl="0" w:tplc="0C09000F">
      <w:start w:val="1"/>
      <w:numFmt w:val="decimal"/>
      <w:lvlText w:val="%1."/>
      <w:lvlJc w:val="left"/>
      <w:pPr>
        <w:ind w:left="720" w:hanging="360"/>
      </w:pPr>
    </w:lvl>
    <w:lvl w:ilvl="1" w:tplc="C6D2DC6E">
      <w:start w:val="1"/>
      <w:numFmt w:val="decimal"/>
      <w:lvlText w:val="%2."/>
      <w:lvlJc w:val="left"/>
      <w:pPr>
        <w:ind w:left="1440" w:hanging="360"/>
      </w:pPr>
      <w:rPr>
        <w:b w:val="0"/>
      </w:rPr>
    </w:lvl>
    <w:lvl w:ilvl="2" w:tplc="0C09001B">
      <w:start w:val="1"/>
      <w:numFmt w:val="lowerRoman"/>
      <w:lvlText w:val="%3."/>
      <w:lvlJc w:val="righ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176F87"/>
    <w:multiLevelType w:val="hybridMultilevel"/>
    <w:tmpl w:val="BD0268D4"/>
    <w:lvl w:ilvl="0" w:tplc="0EC62540">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3"/>
    <w:rsid w:val="000635AC"/>
    <w:rsid w:val="000814DD"/>
    <w:rsid w:val="00083787"/>
    <w:rsid w:val="000A5EC0"/>
    <w:rsid w:val="000D2DAF"/>
    <w:rsid w:val="000F3787"/>
    <w:rsid w:val="001B1A0E"/>
    <w:rsid w:val="00204116"/>
    <w:rsid w:val="00235E82"/>
    <w:rsid w:val="002506E4"/>
    <w:rsid w:val="002959FA"/>
    <w:rsid w:val="00296D8E"/>
    <w:rsid w:val="002B468F"/>
    <w:rsid w:val="002D48D3"/>
    <w:rsid w:val="00324E59"/>
    <w:rsid w:val="003414AB"/>
    <w:rsid w:val="003603CA"/>
    <w:rsid w:val="00361F9E"/>
    <w:rsid w:val="003719E2"/>
    <w:rsid w:val="00382837"/>
    <w:rsid w:val="003B0298"/>
    <w:rsid w:val="00401D39"/>
    <w:rsid w:val="0041049B"/>
    <w:rsid w:val="00434763"/>
    <w:rsid w:val="00447D8C"/>
    <w:rsid w:val="0046723E"/>
    <w:rsid w:val="00490792"/>
    <w:rsid w:val="004B1153"/>
    <w:rsid w:val="004C10B2"/>
    <w:rsid w:val="004E586C"/>
    <w:rsid w:val="00544AA0"/>
    <w:rsid w:val="005B2C39"/>
    <w:rsid w:val="005B6B12"/>
    <w:rsid w:val="005E30CC"/>
    <w:rsid w:val="00635DF8"/>
    <w:rsid w:val="00662DA5"/>
    <w:rsid w:val="006764B3"/>
    <w:rsid w:val="00677219"/>
    <w:rsid w:val="0068528C"/>
    <w:rsid w:val="006D72A8"/>
    <w:rsid w:val="0072017A"/>
    <w:rsid w:val="0075708A"/>
    <w:rsid w:val="00765BA8"/>
    <w:rsid w:val="007723D3"/>
    <w:rsid w:val="00776609"/>
    <w:rsid w:val="00796F63"/>
    <w:rsid w:val="007B413F"/>
    <w:rsid w:val="007B7DAE"/>
    <w:rsid w:val="007C35F0"/>
    <w:rsid w:val="007E59F4"/>
    <w:rsid w:val="008174B5"/>
    <w:rsid w:val="008349FE"/>
    <w:rsid w:val="00846FFE"/>
    <w:rsid w:val="00852CA5"/>
    <w:rsid w:val="008A665B"/>
    <w:rsid w:val="008D47B6"/>
    <w:rsid w:val="008F0A3B"/>
    <w:rsid w:val="00931D12"/>
    <w:rsid w:val="0093463B"/>
    <w:rsid w:val="00964AD5"/>
    <w:rsid w:val="009849EE"/>
    <w:rsid w:val="0099028E"/>
    <w:rsid w:val="009C17BA"/>
    <w:rsid w:val="009F4088"/>
    <w:rsid w:val="00A0207E"/>
    <w:rsid w:val="00A161FF"/>
    <w:rsid w:val="00A239A2"/>
    <w:rsid w:val="00A410E8"/>
    <w:rsid w:val="00AA5C0B"/>
    <w:rsid w:val="00AA7899"/>
    <w:rsid w:val="00AC6F97"/>
    <w:rsid w:val="00AD1044"/>
    <w:rsid w:val="00B30996"/>
    <w:rsid w:val="00B72B0C"/>
    <w:rsid w:val="00C1196B"/>
    <w:rsid w:val="00C211DE"/>
    <w:rsid w:val="00C3397B"/>
    <w:rsid w:val="00C90010"/>
    <w:rsid w:val="00C94FD4"/>
    <w:rsid w:val="00C960EF"/>
    <w:rsid w:val="00D11C67"/>
    <w:rsid w:val="00D143BD"/>
    <w:rsid w:val="00D3314C"/>
    <w:rsid w:val="00D96D11"/>
    <w:rsid w:val="00DA2E4A"/>
    <w:rsid w:val="00DB0F4B"/>
    <w:rsid w:val="00DC4A44"/>
    <w:rsid w:val="00DD3D79"/>
    <w:rsid w:val="00E60014"/>
    <w:rsid w:val="00E71E56"/>
    <w:rsid w:val="00EB36D8"/>
    <w:rsid w:val="00EC5C5D"/>
    <w:rsid w:val="00EC7A32"/>
    <w:rsid w:val="00F025AA"/>
    <w:rsid w:val="00F11A10"/>
    <w:rsid w:val="00F76904"/>
    <w:rsid w:val="00F90A62"/>
    <w:rsid w:val="00F91C44"/>
    <w:rsid w:val="00FA2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DE"/>
    <w:rPr>
      <w:rFonts w:ascii="CG Times" w:hAnsi="CG 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FFE"/>
    <w:rPr>
      <w:rFonts w:ascii="Tahoma" w:hAnsi="Tahoma"/>
      <w:sz w:val="16"/>
      <w:szCs w:val="16"/>
      <w:lang w:val="x-none"/>
    </w:rPr>
  </w:style>
  <w:style w:type="character" w:customStyle="1" w:styleId="BalloonTextChar">
    <w:name w:val="Balloon Text Char"/>
    <w:link w:val="BalloonText"/>
    <w:uiPriority w:val="99"/>
    <w:semiHidden/>
    <w:rsid w:val="00846FFE"/>
    <w:rPr>
      <w:rFonts w:ascii="Tahoma" w:hAnsi="Tahoma" w:cs="Tahoma"/>
      <w:sz w:val="16"/>
      <w:szCs w:val="16"/>
      <w:lang w:eastAsia="en-US"/>
    </w:rPr>
  </w:style>
  <w:style w:type="table" w:styleId="TableGrid">
    <w:name w:val="Table Grid"/>
    <w:basedOn w:val="TableNormal"/>
    <w:uiPriority w:val="59"/>
    <w:rsid w:val="0040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C0B"/>
    <w:pPr>
      <w:tabs>
        <w:tab w:val="center" w:pos="4513"/>
        <w:tab w:val="right" w:pos="9026"/>
      </w:tabs>
    </w:pPr>
    <w:rPr>
      <w:lang w:val="x-none"/>
    </w:rPr>
  </w:style>
  <w:style w:type="character" w:customStyle="1" w:styleId="HeaderChar">
    <w:name w:val="Header Char"/>
    <w:link w:val="Header"/>
    <w:uiPriority w:val="99"/>
    <w:rsid w:val="00AA5C0B"/>
    <w:rPr>
      <w:rFonts w:ascii="CG Times" w:hAnsi="CG Times"/>
      <w:sz w:val="24"/>
      <w:lang w:eastAsia="en-US"/>
    </w:rPr>
  </w:style>
  <w:style w:type="paragraph" w:styleId="Footer">
    <w:name w:val="footer"/>
    <w:basedOn w:val="Normal"/>
    <w:link w:val="FooterChar"/>
    <w:uiPriority w:val="99"/>
    <w:unhideWhenUsed/>
    <w:rsid w:val="00AA5C0B"/>
    <w:pPr>
      <w:tabs>
        <w:tab w:val="center" w:pos="4513"/>
        <w:tab w:val="right" w:pos="9026"/>
      </w:tabs>
    </w:pPr>
    <w:rPr>
      <w:lang w:val="x-none"/>
    </w:rPr>
  </w:style>
  <w:style w:type="character" w:customStyle="1" w:styleId="FooterChar">
    <w:name w:val="Footer Char"/>
    <w:link w:val="Footer"/>
    <w:uiPriority w:val="99"/>
    <w:rsid w:val="00AA5C0B"/>
    <w:rPr>
      <w:rFonts w:ascii="CG Times" w:hAnsi="CG Times"/>
      <w:sz w:val="24"/>
      <w:lang w:eastAsia="en-US"/>
    </w:rPr>
  </w:style>
  <w:style w:type="character" w:styleId="PlaceholderText">
    <w:name w:val="Placeholder Text"/>
    <w:uiPriority w:val="99"/>
    <w:semiHidden/>
    <w:rsid w:val="007723D3"/>
    <w:rPr>
      <w:color w:val="808080"/>
    </w:rPr>
  </w:style>
  <w:style w:type="paragraph" w:styleId="ListParagraph">
    <w:name w:val="List Paragraph"/>
    <w:basedOn w:val="Normal"/>
    <w:uiPriority w:val="34"/>
    <w:qFormat/>
    <w:rsid w:val="00C90010"/>
    <w:pPr>
      <w:ind w:left="720"/>
      <w:contextualSpacing/>
    </w:pPr>
  </w:style>
  <w:style w:type="character" w:styleId="Hyperlink">
    <w:name w:val="Hyperlink"/>
    <w:uiPriority w:val="99"/>
    <w:unhideWhenUsed/>
    <w:rsid w:val="00796F63"/>
    <w:rPr>
      <w:color w:val="0000FF"/>
      <w:u w:val="single"/>
    </w:rPr>
  </w:style>
  <w:style w:type="character" w:styleId="FollowedHyperlink">
    <w:name w:val="FollowedHyperlink"/>
    <w:uiPriority w:val="99"/>
    <w:semiHidden/>
    <w:unhideWhenUsed/>
    <w:rsid w:val="00796F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A05AD-6F7D-4394-B9DA-FC8F5233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1932</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2257</CharactersWithSpaces>
  <SharedDoc>false</SharedDoc>
  <HyperlinkBase>https://www.cabinet.qld.gov.au/documents/2013/Feb/Comm Games Brand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2012-11-23T03:45:00Z</cp:lastPrinted>
  <dcterms:created xsi:type="dcterms:W3CDTF">2017-10-25T00:50:00Z</dcterms:created>
  <dcterms:modified xsi:type="dcterms:W3CDTF">2018-03-06T01:18:00Z</dcterms:modified>
  <cp:category>Sport,Legislation</cp:category>
</cp:coreProperties>
</file>